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2"/>
        <w:gridCol w:w="4546"/>
        <w:gridCol w:w="845"/>
        <w:gridCol w:w="1724"/>
      </w:tblGrid>
      <w:tr w:rsidR="0012209D" w14:paraId="15BF086F" w14:textId="77777777" w:rsidTr="21DC1ABA">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7263B02" w:rsidR="0012209D" w:rsidRPr="00447FD8" w:rsidRDefault="009D7C0D" w:rsidP="0065560D">
            <w:pPr>
              <w:rPr>
                <w:b/>
                <w:bCs/>
              </w:rPr>
            </w:pPr>
            <w:r>
              <w:rPr>
                <w:b/>
                <w:bCs/>
              </w:rPr>
              <w:t>Professor</w:t>
            </w:r>
            <w:r w:rsidR="00006C01">
              <w:rPr>
                <w:b/>
                <w:bCs/>
              </w:rPr>
              <w:t xml:space="preserve"> of </w:t>
            </w:r>
            <w:r w:rsidR="000B208B">
              <w:rPr>
                <w:b/>
                <w:bCs/>
              </w:rPr>
              <w:t>Applied Dementia Research</w:t>
            </w:r>
          </w:p>
        </w:tc>
      </w:tr>
      <w:tr w:rsidR="009C6A2E" w14:paraId="36075575" w14:textId="77777777" w:rsidTr="21DC1ABA">
        <w:tc>
          <w:tcPr>
            <w:tcW w:w="2525" w:type="dxa"/>
            <w:shd w:val="clear" w:color="auto" w:fill="D9D9D9" w:themeFill="background1" w:themeFillShade="D9"/>
          </w:tcPr>
          <w:p w14:paraId="44616D82" w14:textId="06193E93" w:rsidR="009C6A2E" w:rsidRDefault="009C6A2E" w:rsidP="00321CAA">
            <w:r>
              <w:t>Standard Occupation Code: (UKVI SOC CODE)</w:t>
            </w:r>
          </w:p>
        </w:tc>
        <w:tc>
          <w:tcPr>
            <w:tcW w:w="7226" w:type="dxa"/>
            <w:gridSpan w:val="3"/>
          </w:tcPr>
          <w:p w14:paraId="68B2FFAC" w14:textId="2005F223" w:rsidR="009C6A2E" w:rsidRDefault="009C6A2E" w:rsidP="00321CAA">
            <w:r>
              <w:t>2311</w:t>
            </w:r>
            <w:r w:rsidR="34722902">
              <w:t xml:space="preserve"> – Higher education teaching professional</w:t>
            </w:r>
          </w:p>
        </w:tc>
      </w:tr>
      <w:tr w:rsidR="0012209D" w14:paraId="15BF0875" w14:textId="77777777" w:rsidTr="21DC1ABA">
        <w:tc>
          <w:tcPr>
            <w:tcW w:w="2525" w:type="dxa"/>
            <w:shd w:val="clear" w:color="auto" w:fill="D9D9D9" w:themeFill="background1" w:themeFillShade="D9"/>
          </w:tcPr>
          <w:p w14:paraId="15BF0873" w14:textId="5A067E3C" w:rsidR="0012209D" w:rsidRDefault="001603A7" w:rsidP="00321CAA">
            <w:r>
              <w:t>School/Department</w:t>
            </w:r>
            <w:r w:rsidR="0012209D">
              <w:t>:</w:t>
            </w:r>
          </w:p>
        </w:tc>
        <w:tc>
          <w:tcPr>
            <w:tcW w:w="7226" w:type="dxa"/>
            <w:gridSpan w:val="3"/>
          </w:tcPr>
          <w:p w14:paraId="15BF0874" w14:textId="144D10C3" w:rsidR="0012209D" w:rsidRDefault="00C6296B" w:rsidP="00321CAA">
            <w:r>
              <w:t xml:space="preserve">School of </w:t>
            </w:r>
            <w:r w:rsidR="00006C01">
              <w:t>Clinical &amp; Experimental Sciences</w:t>
            </w:r>
          </w:p>
        </w:tc>
      </w:tr>
      <w:tr w:rsidR="00746AEB" w14:paraId="07201851" w14:textId="77777777" w:rsidTr="21DC1AB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41C8081" w:rsidR="00746AEB" w:rsidRDefault="00006C01" w:rsidP="00321CAA">
            <w:r>
              <w:t>Medicine</w:t>
            </w:r>
            <w:r w:rsidR="002B4941">
              <w:t xml:space="preserve"> (FMED)</w:t>
            </w:r>
          </w:p>
        </w:tc>
      </w:tr>
      <w:tr w:rsidR="0012209D" w14:paraId="15BF087A" w14:textId="77777777" w:rsidTr="21DC1ABA">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6EFE981" w:rsidR="0012209D" w:rsidRDefault="009D7C0D" w:rsidP="00FF246F">
            <w:r>
              <w:t>Education, Research and Enterprise</w:t>
            </w:r>
            <w:r w:rsidR="00E37792">
              <w:t xml:space="preserve"> </w:t>
            </w:r>
            <w:r>
              <w:t>(ERE</w:t>
            </w:r>
            <w:r w:rsidR="00E37792">
              <w:t>)</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7F0DDD59" w:rsidR="0012209D" w:rsidRDefault="009D7C0D" w:rsidP="00321CAA">
            <w:r>
              <w:t>7</w:t>
            </w:r>
          </w:p>
        </w:tc>
      </w:tr>
      <w:tr w:rsidR="0012209D" w14:paraId="15BF087E" w14:textId="77777777" w:rsidTr="21DC1ABA">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9DD9899" w:rsidR="0012209D" w:rsidRDefault="009D7C0D" w:rsidP="00FF246F">
            <w:r>
              <w:t>Balanced Portfolio</w:t>
            </w:r>
          </w:p>
        </w:tc>
      </w:tr>
      <w:tr w:rsidR="0012209D" w14:paraId="15BF0881" w14:textId="77777777" w:rsidTr="21DC1ABA">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751DAD8" w:rsidR="0012209D" w:rsidRPr="005508A2" w:rsidRDefault="00C6296B" w:rsidP="00321CAA">
            <w:r>
              <w:t>Head of School</w:t>
            </w:r>
          </w:p>
        </w:tc>
      </w:tr>
      <w:tr w:rsidR="0012209D" w14:paraId="15BF0884" w14:textId="77777777" w:rsidTr="21DC1ABA">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6ED603B" w:rsidR="0012209D" w:rsidRPr="005508A2" w:rsidRDefault="002B4941" w:rsidP="002B4941">
            <w:r>
              <w:t>A</w:t>
            </w:r>
            <w:r w:rsidR="00C6296B" w:rsidRPr="00C6296B">
              <w:t>cademic</w:t>
            </w:r>
            <w:r>
              <w:t>, research and research support</w:t>
            </w:r>
            <w:r w:rsidR="00C6296B" w:rsidRPr="00C6296B">
              <w:t xml:space="preserve"> staff </w:t>
            </w:r>
            <w:r>
              <w:t xml:space="preserve">and students </w:t>
            </w:r>
            <w:r w:rsidR="00C6296B" w:rsidRPr="00C6296B">
              <w:t>employed on programmes and awards managed by the post holder</w:t>
            </w:r>
          </w:p>
        </w:tc>
      </w:tr>
      <w:tr w:rsidR="0012209D" w14:paraId="15BF0887" w14:textId="77777777" w:rsidTr="21DC1ABA">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5331AD7" w:rsidR="0012209D" w:rsidRPr="005508A2" w:rsidRDefault="002B4941" w:rsidP="002B4941">
            <w:r>
              <w:t xml:space="preserve">Laboratory and </w:t>
            </w:r>
            <w:r w:rsidR="0012209D">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4CE311C">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4CE311C">
        <w:trPr>
          <w:trHeight w:val="1134"/>
        </w:trPr>
        <w:tc>
          <w:tcPr>
            <w:tcW w:w="10137" w:type="dxa"/>
          </w:tcPr>
          <w:p w14:paraId="083635AA" w14:textId="30FD9CDA" w:rsidR="002B4941" w:rsidRDefault="008C7F3F" w:rsidP="000B3BDD">
            <w:r>
              <w:t xml:space="preserve">Clinical Neurosciences </w:t>
            </w:r>
            <w:r w:rsidR="000B208B">
              <w:t xml:space="preserve">represents </w:t>
            </w:r>
            <w:r>
              <w:t>a key theme in the Faculty of Medicine, University of Southampton. The Interdisciplinary Dementia and Ageing Centre (</w:t>
            </w:r>
            <w:proofErr w:type="spellStart"/>
            <w:r>
              <w:t>IDeAC</w:t>
            </w:r>
            <w:proofErr w:type="spellEnd"/>
            <w:r>
              <w:t xml:space="preserve">) is a </w:t>
            </w:r>
            <w:r w:rsidR="000B208B">
              <w:t xml:space="preserve">cross-Faculty group of basic scientists with different areas of expertise, clinicians, engineers, mathematicians, computer scientists with a common goal of a better understanding of the pathophysiology underlying dementia, novel biomarkers and identifying new safe affordable therapeutic strategies. </w:t>
            </w:r>
            <w:r w:rsidR="001479FB">
              <w:t xml:space="preserve"> </w:t>
            </w:r>
            <w:r w:rsidR="002B4941">
              <w:t xml:space="preserve">The post-holder will have responsibility for maintaining and enhancing this core area of research excellence in fundamental and translational </w:t>
            </w:r>
            <w:r w:rsidR="000B208B">
              <w:t>neuro</w:t>
            </w:r>
            <w:r w:rsidR="0053384C">
              <w:t>science</w:t>
            </w:r>
            <w:r w:rsidR="000B208B">
              <w:t xml:space="preserve"> with a focus on dementia</w:t>
            </w:r>
            <w:r w:rsidR="0053384C">
              <w:t>.  The post-holder will also develop new areas of interdisciplinary research through effective internal</w:t>
            </w:r>
            <w:r w:rsidR="001479FB">
              <w:t xml:space="preserve"> (both </w:t>
            </w:r>
            <w:proofErr w:type="spellStart"/>
            <w:r w:rsidR="001479FB">
              <w:t>UoS</w:t>
            </w:r>
            <w:proofErr w:type="spellEnd"/>
            <w:r w:rsidR="001479FB">
              <w:t xml:space="preserve"> and UHS)</w:t>
            </w:r>
            <w:r w:rsidR="0053384C">
              <w:t xml:space="preserve"> and external collaboration.</w:t>
            </w:r>
          </w:p>
          <w:p w14:paraId="2B9F06C1" w14:textId="6215E485" w:rsidR="000B3BDD" w:rsidRPr="002B4941" w:rsidRDefault="002B4941" w:rsidP="000B3BDD">
            <w:r>
              <w:rPr>
                <w:iCs/>
              </w:rPr>
              <w:t>The post-holder will have</w:t>
            </w:r>
            <w:r w:rsidR="000B3BDD" w:rsidRPr="002B4941">
              <w:rPr>
                <w:iCs/>
              </w:rPr>
              <w:t xml:space="preserve"> a significant national and/or international reputation for leadership and innovation in </w:t>
            </w:r>
            <w:r w:rsidR="000B208B">
              <w:rPr>
                <w:iCs/>
              </w:rPr>
              <w:t>dementia</w:t>
            </w:r>
            <w:r>
              <w:rPr>
                <w:iCs/>
              </w:rPr>
              <w:t xml:space="preserve"> </w:t>
            </w:r>
            <w:r w:rsidR="000B3BDD" w:rsidRPr="002B4941">
              <w:rPr>
                <w:iCs/>
              </w:rPr>
              <w:t xml:space="preserve">education and research, characterised by a sustained and continuing track record of academic excellence. </w:t>
            </w:r>
            <w:r>
              <w:rPr>
                <w:iCs/>
              </w:rPr>
              <w:t xml:space="preserve">The post-holder will both lead and collaborate </w:t>
            </w:r>
            <w:r w:rsidR="0053384C">
              <w:rPr>
                <w:iCs/>
              </w:rPr>
              <w:t xml:space="preserve">on submitting </w:t>
            </w:r>
            <w:r w:rsidR="0053384C" w:rsidRPr="0053384C">
              <w:rPr>
                <w:iCs/>
              </w:rPr>
              <w:t>major funding bids</w:t>
            </w:r>
            <w:r w:rsidR="0053384C">
              <w:rPr>
                <w:iCs/>
              </w:rPr>
              <w:t xml:space="preserve"> (e.g. NIHR Infrastructure Bids)</w:t>
            </w:r>
            <w:r w:rsidR="0053384C" w:rsidRPr="0053384C">
              <w:rPr>
                <w:iCs/>
              </w:rPr>
              <w:t>, securing research funding and attracting high-quality research staff and PhD students.</w:t>
            </w:r>
          </w:p>
          <w:p w14:paraId="15BF088B" w14:textId="7CECAB10" w:rsidR="005D3265" w:rsidRPr="00C90EC4" w:rsidRDefault="002B4941" w:rsidP="007E500B">
            <w:pPr>
              <w:rPr>
                <w:i/>
                <w:iCs/>
              </w:rPr>
            </w:pPr>
            <w:r>
              <w:rPr>
                <w:iCs/>
              </w:rPr>
              <w:t>The post-holder will</w:t>
            </w:r>
            <w:r w:rsidR="000B3BDD" w:rsidRPr="002B4941">
              <w:rPr>
                <w:iCs/>
              </w:rPr>
              <w:t xml:space="preserve"> provide effective academic leadership within the </w:t>
            </w:r>
            <w:proofErr w:type="gramStart"/>
            <w:r>
              <w:rPr>
                <w:iCs/>
              </w:rPr>
              <w:t>School</w:t>
            </w:r>
            <w:proofErr w:type="gramEnd"/>
            <w:r>
              <w:rPr>
                <w:iCs/>
              </w:rPr>
              <w:t xml:space="preserve"> as well as the wider </w:t>
            </w:r>
            <w:r w:rsidR="000B3BDD" w:rsidRPr="002B4941">
              <w:rPr>
                <w:iCs/>
              </w:rPr>
              <w:t>University, undertaking management, research and educational activities, including the supervision of PhD students. They will be able to make judgements at a strategic level and will contribute to the development of the University’s external profile in the UK and internationally.</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53384C">
        <w:trPr>
          <w:cantSplit/>
          <w:tblHeader/>
        </w:trPr>
        <w:tc>
          <w:tcPr>
            <w:tcW w:w="8609"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53384C">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009" w:type="dxa"/>
            <w:tcBorders>
              <w:left w:val="nil"/>
            </w:tcBorders>
          </w:tcPr>
          <w:p w14:paraId="65F11AD7" w14:textId="77777777" w:rsidR="0012209D" w:rsidRPr="00661BF7" w:rsidRDefault="0029110A" w:rsidP="00321CAA">
            <w:pPr>
              <w:rPr>
                <w:b/>
              </w:rPr>
            </w:pPr>
            <w:r w:rsidRPr="00661BF7">
              <w:rPr>
                <w:b/>
              </w:rPr>
              <w:t>Research:</w:t>
            </w:r>
          </w:p>
          <w:p w14:paraId="207774CC" w14:textId="1101F3BD" w:rsidR="0029110A" w:rsidRDefault="0029110A" w:rsidP="0029110A">
            <w:r>
              <w:t>Undertake and p</w:t>
            </w:r>
            <w:r w:rsidRPr="0029110A">
              <w:t xml:space="preserve">rovide research leadership in </w:t>
            </w:r>
            <w:r w:rsidR="000B208B">
              <w:t>Dementia</w:t>
            </w:r>
            <w:r w:rsidRPr="0029110A">
              <w:t xml:space="preserve">, coordinating the research strategy of the </w:t>
            </w:r>
            <w:proofErr w:type="gramStart"/>
            <w:r>
              <w:t>School</w:t>
            </w:r>
            <w:proofErr w:type="gramEnd"/>
            <w:r w:rsidRPr="0029110A">
              <w:t xml:space="preserve"> in the area.  To establish </w:t>
            </w:r>
            <w:r w:rsidR="007E500B">
              <w:t xml:space="preserve">and maintain </w:t>
            </w:r>
            <w:r w:rsidRPr="0029110A">
              <w:t>productive collaborations with academic colleagues, both within and across disciplines, and within and external to the University. Support the development of early career researchers, through creating and supporting publications in top journals. The post</w:t>
            </w:r>
            <w:r>
              <w:t>-</w:t>
            </w:r>
            <w:r w:rsidRPr="0029110A">
              <w:t>holder is expected to contribute high quality impactful contributions from both a scholarship and practice perspective.</w:t>
            </w:r>
          </w:p>
          <w:p w14:paraId="64D04A5F" w14:textId="069C92C1" w:rsidR="0029110A" w:rsidRDefault="0029110A" w:rsidP="0029110A">
            <w:r w:rsidRPr="0029110A">
              <w:t>Lead major funding bids, securing research funding and attracting high-quality research staff and PhD students.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w:t>
            </w:r>
            <w:r w:rsidR="00C17D87">
              <w:t>g</w:t>
            </w:r>
            <w:r w:rsidRPr="0029110A">
              <w:t>.</w:t>
            </w:r>
          </w:p>
          <w:p w14:paraId="15BF0892" w14:textId="49867FB3" w:rsidR="0029110A" w:rsidRDefault="0029110A" w:rsidP="0029110A">
            <w:r>
              <w:t>Regularly d</w:t>
            </w:r>
            <w:r w:rsidRPr="0029110A">
              <w:t>isseminate</w:t>
            </w:r>
            <w:r>
              <w:t xml:space="preserve"> and explain research</w:t>
            </w:r>
            <w:r w:rsidRPr="0029110A">
              <w:t xml:space="preserve"> findings </w:t>
            </w:r>
            <w:r>
              <w:t xml:space="preserve">either </w:t>
            </w:r>
            <w:r w:rsidRPr="0029110A">
              <w:t xml:space="preserve">at conferences </w:t>
            </w:r>
            <w:r>
              <w:t>via publication in</w:t>
            </w:r>
            <w:r w:rsidRPr="0029110A">
              <w:t xml:space="preserve"> leading peer-reviewed </w:t>
            </w:r>
            <w:r>
              <w:t>journals.</w:t>
            </w:r>
          </w:p>
        </w:tc>
        <w:tc>
          <w:tcPr>
            <w:tcW w:w="1018" w:type="dxa"/>
          </w:tcPr>
          <w:p w14:paraId="15BF0893" w14:textId="29B99732" w:rsidR="0012209D" w:rsidRDefault="00661BF7" w:rsidP="00661BF7">
            <w:r>
              <w:t>55</w:t>
            </w:r>
            <w:r w:rsidR="00343D93">
              <w:t>%</w:t>
            </w:r>
          </w:p>
        </w:tc>
      </w:tr>
      <w:tr w:rsidR="0012209D" w14:paraId="15BF0898" w14:textId="77777777" w:rsidTr="0053384C">
        <w:trPr>
          <w:cantSplit/>
        </w:trPr>
        <w:tc>
          <w:tcPr>
            <w:tcW w:w="600" w:type="dxa"/>
            <w:tcBorders>
              <w:right w:val="nil"/>
            </w:tcBorders>
          </w:tcPr>
          <w:p w14:paraId="15BF0895" w14:textId="77777777" w:rsidR="0012209D" w:rsidRDefault="0012209D" w:rsidP="0012209D">
            <w:pPr>
              <w:pStyle w:val="ListParagraph"/>
              <w:numPr>
                <w:ilvl w:val="0"/>
                <w:numId w:val="17"/>
              </w:numPr>
            </w:pPr>
          </w:p>
        </w:tc>
        <w:tc>
          <w:tcPr>
            <w:tcW w:w="8009" w:type="dxa"/>
            <w:tcBorders>
              <w:left w:val="nil"/>
            </w:tcBorders>
          </w:tcPr>
          <w:p w14:paraId="07BD599F" w14:textId="77777777" w:rsidR="0012209D" w:rsidRPr="00661BF7" w:rsidRDefault="0029110A" w:rsidP="00C31B06">
            <w:pPr>
              <w:rPr>
                <w:b/>
              </w:rPr>
            </w:pPr>
            <w:r w:rsidRPr="00661BF7">
              <w:rPr>
                <w:b/>
              </w:rPr>
              <w:t>Education:</w:t>
            </w:r>
          </w:p>
          <w:p w14:paraId="15BF0896" w14:textId="00D15054" w:rsidR="0029110A" w:rsidRDefault="001479FB" w:rsidP="001479FB">
            <w:r w:rsidRPr="001479FB">
              <w:t>Deliver an excellent education for students</w:t>
            </w:r>
            <w:r>
              <w:t xml:space="preserve"> across the Faculty’s Undergraduate, Master’s and Doctoral Programmes</w:t>
            </w:r>
            <w:r w:rsidRPr="001479FB">
              <w:t>.  Take responsibility for overseeing, developing and promoting fresh teaching and learning approaches and material, which create interest, understanding and enthusiasm amongst students</w:t>
            </w:r>
            <w:r>
              <w:t xml:space="preserve"> across the post-</w:t>
            </w:r>
            <w:proofErr w:type="gramStart"/>
            <w:r>
              <w:t>holders</w:t>
            </w:r>
            <w:proofErr w:type="gramEnd"/>
            <w:r>
              <w:t xml:space="preserve"> areas of expertise</w:t>
            </w:r>
            <w:r w:rsidRPr="001479FB">
              <w:t>.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w:t>
            </w:r>
          </w:p>
        </w:tc>
        <w:tc>
          <w:tcPr>
            <w:tcW w:w="1018" w:type="dxa"/>
          </w:tcPr>
          <w:p w14:paraId="15BF0897" w14:textId="707A16F1" w:rsidR="0012209D" w:rsidRDefault="00661BF7" w:rsidP="00321CAA">
            <w:r>
              <w:t>20</w:t>
            </w:r>
            <w:r w:rsidR="00343D93">
              <w:t>%</w:t>
            </w:r>
          </w:p>
        </w:tc>
      </w:tr>
      <w:tr w:rsidR="0012209D" w14:paraId="15BF089C" w14:textId="77777777" w:rsidTr="0053384C">
        <w:trPr>
          <w:cantSplit/>
        </w:trPr>
        <w:tc>
          <w:tcPr>
            <w:tcW w:w="600" w:type="dxa"/>
            <w:tcBorders>
              <w:right w:val="nil"/>
            </w:tcBorders>
          </w:tcPr>
          <w:p w14:paraId="15BF0899" w14:textId="77777777" w:rsidR="0012209D" w:rsidRDefault="0012209D" w:rsidP="0012209D">
            <w:pPr>
              <w:pStyle w:val="ListParagraph"/>
              <w:numPr>
                <w:ilvl w:val="0"/>
                <w:numId w:val="17"/>
              </w:numPr>
            </w:pPr>
          </w:p>
        </w:tc>
        <w:tc>
          <w:tcPr>
            <w:tcW w:w="8009" w:type="dxa"/>
            <w:tcBorders>
              <w:left w:val="nil"/>
            </w:tcBorders>
          </w:tcPr>
          <w:p w14:paraId="7B3C7717" w14:textId="16C1B2E6" w:rsidR="0012209D" w:rsidRPr="00661BF7" w:rsidRDefault="00661BF7" w:rsidP="00EE13FB">
            <w:pPr>
              <w:rPr>
                <w:b/>
              </w:rPr>
            </w:pPr>
            <w:r w:rsidRPr="00661BF7">
              <w:rPr>
                <w:b/>
              </w:rPr>
              <w:t xml:space="preserve">Knowledge Exchange &amp; </w:t>
            </w:r>
            <w:r w:rsidR="0029110A" w:rsidRPr="00661BF7">
              <w:rPr>
                <w:b/>
              </w:rPr>
              <w:t>Enterprise</w:t>
            </w:r>
            <w:r w:rsidRPr="00661BF7">
              <w:rPr>
                <w:b/>
              </w:rPr>
              <w:t xml:space="preserve"> (KEE)</w:t>
            </w:r>
            <w:r>
              <w:rPr>
                <w:b/>
              </w:rPr>
              <w:t>:</w:t>
            </w:r>
          </w:p>
          <w:p w14:paraId="576E9938" w14:textId="055C0828" w:rsidR="00661BF7" w:rsidRDefault="00661BF7" w:rsidP="00661BF7">
            <w:r w:rsidRPr="00661BF7">
              <w:t xml:space="preserve">The post holder is expected to establish productive collaborations with academic colleagues, both within and across disciplines, and within and external to the University.  To develop productive links with industry, giving opportunities for impact case studies, </w:t>
            </w:r>
            <w:proofErr w:type="gramStart"/>
            <w:r w:rsidRPr="00661BF7">
              <w:t>commercially-funded</w:t>
            </w:r>
            <w:proofErr w:type="gramEnd"/>
            <w:r w:rsidRPr="00661BF7">
              <w:t xml:space="preserve"> collaborative research, consultancy, and student opportunities.</w:t>
            </w:r>
          </w:p>
          <w:p w14:paraId="15BF089A" w14:textId="3AE0A6DF" w:rsidR="0029110A" w:rsidRDefault="00661BF7" w:rsidP="00661BF7">
            <w:r w:rsidRPr="00661BF7">
              <w:t>Engage in external academic activities in acco</w:t>
            </w:r>
            <w:r>
              <w:t>rdance with the Faculty /School</w:t>
            </w:r>
            <w:r w:rsidRPr="00661BF7">
              <w:t xml:space="preserve"> research and KEE strategic plan and which enhance the School/</w:t>
            </w:r>
            <w:r>
              <w:t>Faculty</w:t>
            </w:r>
            <w:r w:rsidRPr="00661BF7">
              <w:t xml:space="preserve"> national/international research, KEE or executive education profile, e.g., membership of committees of academic bodies, external examining, journal editorships, advisor to governments, member or national or international bodies.</w:t>
            </w:r>
          </w:p>
        </w:tc>
        <w:tc>
          <w:tcPr>
            <w:tcW w:w="1018" w:type="dxa"/>
          </w:tcPr>
          <w:p w14:paraId="15BF089B" w14:textId="1ABDF9B7" w:rsidR="0012209D" w:rsidRDefault="00661BF7" w:rsidP="00661BF7">
            <w:r>
              <w:t>10</w:t>
            </w:r>
            <w:r w:rsidR="00343D93">
              <w:t>%</w:t>
            </w:r>
          </w:p>
        </w:tc>
      </w:tr>
      <w:tr w:rsidR="0012209D" w14:paraId="15BF08A0" w14:textId="77777777" w:rsidTr="0053384C">
        <w:trPr>
          <w:cantSplit/>
        </w:trPr>
        <w:tc>
          <w:tcPr>
            <w:tcW w:w="600" w:type="dxa"/>
            <w:tcBorders>
              <w:right w:val="nil"/>
            </w:tcBorders>
          </w:tcPr>
          <w:p w14:paraId="15BF089D" w14:textId="77777777" w:rsidR="0012209D" w:rsidRDefault="0012209D" w:rsidP="0012209D">
            <w:pPr>
              <w:pStyle w:val="ListParagraph"/>
              <w:numPr>
                <w:ilvl w:val="0"/>
                <w:numId w:val="17"/>
              </w:numPr>
            </w:pPr>
          </w:p>
        </w:tc>
        <w:tc>
          <w:tcPr>
            <w:tcW w:w="8009" w:type="dxa"/>
            <w:tcBorders>
              <w:left w:val="nil"/>
            </w:tcBorders>
          </w:tcPr>
          <w:p w14:paraId="26DA7A93" w14:textId="71831E37" w:rsidR="0012209D" w:rsidRPr="00661BF7" w:rsidRDefault="0029110A" w:rsidP="00321CAA">
            <w:pPr>
              <w:rPr>
                <w:b/>
              </w:rPr>
            </w:pPr>
            <w:r w:rsidRPr="00661BF7">
              <w:rPr>
                <w:b/>
              </w:rPr>
              <w:t>Leadership &amp; Management</w:t>
            </w:r>
            <w:r w:rsidR="00661BF7">
              <w:rPr>
                <w:b/>
              </w:rPr>
              <w:t>:</w:t>
            </w:r>
          </w:p>
          <w:p w14:paraId="084CBCF1" w14:textId="77777777" w:rsidR="0029110A" w:rsidRDefault="00661BF7" w:rsidP="00321CAA">
            <w:r w:rsidRPr="00661BF7">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p w14:paraId="15BF089E" w14:textId="30DAA7E1" w:rsidR="00661BF7" w:rsidRDefault="00661BF7" w:rsidP="00321CAA">
            <w:r w:rsidRPr="00661BF7">
              <w:t xml:space="preserve">Contribute to leadership within the </w:t>
            </w:r>
            <w:r>
              <w:t xml:space="preserve">School/Faculty and </w:t>
            </w:r>
            <w:r w:rsidRPr="00661BF7">
              <w:t xml:space="preserve">University.  In partnership with other members of the </w:t>
            </w:r>
            <w:proofErr w:type="gramStart"/>
            <w:r w:rsidRPr="00661BF7">
              <w:t>School</w:t>
            </w:r>
            <w:proofErr w:type="gramEnd"/>
            <w:r w:rsidRPr="00661BF7">
              <w:t xml:space="preserve">, contribute towards developing School research, education and KEE strategic plans. Contribute to the effective management and administration of the </w:t>
            </w:r>
            <w:proofErr w:type="gramStart"/>
            <w:r w:rsidRPr="00661BF7">
              <w:t>Faculty</w:t>
            </w:r>
            <w:proofErr w:type="gramEnd"/>
            <w:r w:rsidRPr="00661BF7">
              <w:t xml:space="preserve"> by performing duties allocated by the Head of School.</w:t>
            </w:r>
          </w:p>
        </w:tc>
        <w:tc>
          <w:tcPr>
            <w:tcW w:w="1018" w:type="dxa"/>
          </w:tcPr>
          <w:p w14:paraId="15BF089F" w14:textId="295FC373" w:rsidR="0012209D" w:rsidRDefault="00661BF7" w:rsidP="00321CAA">
            <w:r>
              <w:t>10</w:t>
            </w:r>
            <w:r w:rsidR="00343D93">
              <w:t>%</w:t>
            </w:r>
          </w:p>
        </w:tc>
      </w:tr>
      <w:tr w:rsidR="00671F76" w14:paraId="02C51BD6" w14:textId="77777777" w:rsidTr="0053384C">
        <w:trPr>
          <w:cantSplit/>
        </w:trPr>
        <w:tc>
          <w:tcPr>
            <w:tcW w:w="600" w:type="dxa"/>
            <w:tcBorders>
              <w:right w:val="nil"/>
            </w:tcBorders>
          </w:tcPr>
          <w:p w14:paraId="6979F6BB" w14:textId="77777777" w:rsidR="00671F76" w:rsidRDefault="00671F76" w:rsidP="00671F76">
            <w:pPr>
              <w:pStyle w:val="ListParagraph"/>
              <w:numPr>
                <w:ilvl w:val="0"/>
                <w:numId w:val="17"/>
              </w:numPr>
            </w:pPr>
          </w:p>
        </w:tc>
        <w:tc>
          <w:tcPr>
            <w:tcW w:w="8009"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18" w:type="dxa"/>
          </w:tcPr>
          <w:p w14:paraId="73579A3D" w14:textId="03CBEAAF" w:rsidR="00671F76" w:rsidRDefault="00661BF7" w:rsidP="00671F76">
            <w:r>
              <w:t>5</w:t>
            </w:r>
            <w:r w:rsidR="00671F76">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278E6EED" w14:textId="069F04DD" w:rsidR="00631459" w:rsidRPr="00631459" w:rsidRDefault="00631459" w:rsidP="00631459">
            <w:pPr>
              <w:numPr>
                <w:ilvl w:val="0"/>
                <w:numId w:val="19"/>
              </w:numPr>
            </w:pPr>
            <w:r w:rsidRPr="00631459">
              <w:t>Member of the School/</w:t>
            </w:r>
            <w:r>
              <w:t>Faculty</w:t>
            </w:r>
            <w:r w:rsidRPr="00631459">
              <w:t xml:space="preserve"> Board</w:t>
            </w:r>
            <w:r>
              <w:t>s and C</w:t>
            </w:r>
            <w:r w:rsidRPr="00631459">
              <w:t xml:space="preserve">ommittees relevant to their administrative duties.  </w:t>
            </w:r>
          </w:p>
          <w:p w14:paraId="1E424A80" w14:textId="3E49D8C8" w:rsidR="00631459" w:rsidRPr="00631459" w:rsidRDefault="00631459" w:rsidP="00631459">
            <w:pPr>
              <w:numPr>
                <w:ilvl w:val="0"/>
                <w:numId w:val="19"/>
              </w:numPr>
            </w:pPr>
            <w:r w:rsidRPr="00631459">
              <w:t>Teaching and administrative duties will be allocated by the Head of School, within the context of the teaching programmes agreed by the School/</w:t>
            </w:r>
            <w:r>
              <w:t>Faculty</w:t>
            </w:r>
            <w:r w:rsidRPr="00631459">
              <w:t>.</w:t>
            </w:r>
          </w:p>
          <w:p w14:paraId="4721EB13" w14:textId="6D2AFAAD" w:rsidR="00631459" w:rsidRDefault="00631459" w:rsidP="00631459">
            <w:pPr>
              <w:numPr>
                <w:ilvl w:val="0"/>
                <w:numId w:val="19"/>
              </w:numPr>
            </w:pPr>
            <w:r w:rsidRPr="00631459">
              <w:t xml:space="preserve">The post-holder will develop collaborative relationships in research, education and KEE with academic staff within the </w:t>
            </w:r>
            <w:proofErr w:type="gramStart"/>
            <w:r w:rsidRPr="00631459">
              <w:t>Faculty</w:t>
            </w:r>
            <w:proofErr w:type="gramEnd"/>
            <w:r w:rsidRPr="00631459">
              <w:t>, elsewhere in the University</w:t>
            </w:r>
            <w:r>
              <w:t>, BRC, UHS</w:t>
            </w:r>
            <w:r w:rsidRPr="00631459">
              <w:t xml:space="preserve"> and nationally and internationally.</w:t>
            </w:r>
          </w:p>
          <w:p w14:paraId="15BF08B0" w14:textId="57F75919" w:rsidR="00C31B06" w:rsidRDefault="00631459" w:rsidP="00631459">
            <w:pPr>
              <w:numPr>
                <w:ilvl w:val="0"/>
                <w:numId w:val="19"/>
              </w:numPr>
            </w:pPr>
            <w:r w:rsidRPr="00631459">
              <w:t>Develop productive working relationships with Professional service staff.</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lastRenderedPageBreak/>
              <w:t>Special Requirements</w:t>
            </w:r>
          </w:p>
        </w:tc>
      </w:tr>
      <w:tr w:rsidR="00343D93" w14:paraId="0C44D04E" w14:textId="77777777" w:rsidTr="00856C27">
        <w:trPr>
          <w:trHeight w:val="1134"/>
        </w:trPr>
        <w:tc>
          <w:tcPr>
            <w:tcW w:w="10137" w:type="dxa"/>
          </w:tcPr>
          <w:p w14:paraId="6DA5CA0A" w14:textId="52201144" w:rsidR="00343D93" w:rsidRDefault="00631459" w:rsidP="00343D93">
            <w:r w:rsidRPr="00631459">
              <w:t xml:space="preserve">To attend national and international conferences for the purpose of disseminating research results.  </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3"/>
        <w:gridCol w:w="3335"/>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113EDE" w14:paraId="15BF08BF" w14:textId="77777777" w:rsidTr="00013C10">
        <w:tc>
          <w:tcPr>
            <w:tcW w:w="1617" w:type="dxa"/>
          </w:tcPr>
          <w:p w14:paraId="15BF08BB" w14:textId="21456655" w:rsidR="00113EDE" w:rsidRPr="00FD5B0E" w:rsidRDefault="00113EDE" w:rsidP="00113EDE">
            <w:r w:rsidRPr="00FD5B0E">
              <w:t xml:space="preserve">Qualifications, knowledge </w:t>
            </w:r>
            <w:r>
              <w:t>and</w:t>
            </w:r>
            <w:r w:rsidRPr="00FD5B0E">
              <w:t xml:space="preserve"> experience</w:t>
            </w:r>
          </w:p>
        </w:tc>
        <w:tc>
          <w:tcPr>
            <w:tcW w:w="3402" w:type="dxa"/>
          </w:tcPr>
          <w:p w14:paraId="0C40A470" w14:textId="1D2C4A65" w:rsidR="00113EDE" w:rsidRDefault="00113EDE" w:rsidP="00113EDE">
            <w:pPr>
              <w:spacing w:after="90"/>
            </w:pPr>
            <w:r w:rsidRPr="00401EAA">
              <w:t>PhD or equivalent profession</w:t>
            </w:r>
            <w:r w:rsidR="00631459">
              <w:t>al qualifications and experience</w:t>
            </w:r>
            <w:r w:rsidRPr="00401EAA">
              <w:t xml:space="preserve"> in </w:t>
            </w:r>
            <w:r w:rsidR="00631459">
              <w:t xml:space="preserve">a subject area relevant </w:t>
            </w:r>
            <w:r w:rsidR="00E8458F">
              <w:t xml:space="preserve">to studying dementia. </w:t>
            </w:r>
          </w:p>
          <w:p w14:paraId="600E0056" w14:textId="77777777" w:rsidR="002D58F6" w:rsidRDefault="009A591A" w:rsidP="009A591A">
            <w:pPr>
              <w:spacing w:after="90"/>
            </w:pPr>
            <w:r w:rsidRPr="009A591A">
              <w:t xml:space="preserve">Detailed knowledge of the central nervous system (CNS) and diseases affecting the CNS. A significant national and international reputation in neuroscience research. </w:t>
            </w:r>
          </w:p>
          <w:p w14:paraId="062523ED" w14:textId="77777777" w:rsidR="002D58F6" w:rsidRDefault="009A591A" w:rsidP="009A591A">
            <w:pPr>
              <w:spacing w:after="90"/>
            </w:pPr>
            <w:r w:rsidRPr="009A591A">
              <w:t xml:space="preserve">Teaching qualification (PCAP or equivalent) A sustained record of excellence in teaching and learning activities. </w:t>
            </w:r>
          </w:p>
          <w:p w14:paraId="7ECA8F54" w14:textId="77777777" w:rsidR="002D58F6" w:rsidRDefault="009A591A" w:rsidP="009A591A">
            <w:pPr>
              <w:spacing w:after="90"/>
            </w:pPr>
            <w:r w:rsidRPr="009A591A">
              <w:t xml:space="preserve">A sustained record of excellence in </w:t>
            </w:r>
            <w:proofErr w:type="spellStart"/>
            <w:r w:rsidRPr="009A591A">
              <w:t>dementiaresearch</w:t>
            </w:r>
            <w:proofErr w:type="spellEnd"/>
            <w:r w:rsidRPr="009A591A">
              <w:t xml:space="preserve"> activities. </w:t>
            </w:r>
          </w:p>
          <w:p w14:paraId="15BF08BC" w14:textId="6FC46AD7" w:rsidR="00631459" w:rsidRDefault="009A591A" w:rsidP="002D58F6">
            <w:pPr>
              <w:spacing w:after="90"/>
            </w:pPr>
            <w:r w:rsidRPr="009A591A">
              <w:t>Experience of leading laboratory and translational research. </w:t>
            </w:r>
          </w:p>
        </w:tc>
        <w:tc>
          <w:tcPr>
            <w:tcW w:w="3402" w:type="dxa"/>
          </w:tcPr>
          <w:p w14:paraId="0260AD53" w14:textId="77777777" w:rsidR="00113EDE" w:rsidRDefault="00113EDE" w:rsidP="00113EDE">
            <w:pPr>
              <w:spacing w:after="90"/>
            </w:pPr>
            <w:r>
              <w:t>Membership of Higher Education Academy</w:t>
            </w:r>
          </w:p>
          <w:p w14:paraId="0F2D5B0F" w14:textId="537F7761" w:rsidR="00AD3068" w:rsidRDefault="00AD3068" w:rsidP="000B3BDD">
            <w:pPr>
              <w:spacing w:after="90"/>
            </w:pPr>
            <w:r>
              <w:t xml:space="preserve">Membership </w:t>
            </w:r>
            <w:r w:rsidR="000B3BDD">
              <w:t>of</w:t>
            </w:r>
            <w:r>
              <w:t xml:space="preserve"> national or international advisory bodies</w:t>
            </w:r>
            <w:r w:rsidR="000B3BDD">
              <w:t xml:space="preserve"> </w:t>
            </w:r>
            <w:r w:rsidR="00631459">
              <w:t xml:space="preserve">(e.g. </w:t>
            </w:r>
            <w:r w:rsidR="0040028F">
              <w:t>Alzheimer’s Society)</w:t>
            </w:r>
          </w:p>
          <w:p w14:paraId="356CE5FD" w14:textId="7CF21EDB" w:rsidR="000F0453" w:rsidRDefault="00113EDE" w:rsidP="000F0453">
            <w:pPr>
              <w:spacing w:after="90"/>
              <w:rPr>
                <w:color w:val="FF0000"/>
              </w:rPr>
            </w:pPr>
            <w:r>
              <w:t xml:space="preserve">Experience of </w:t>
            </w:r>
            <w:r w:rsidR="000F0453">
              <w:t>winning major funding bids and/or obtaining ethical approval for research</w:t>
            </w:r>
          </w:p>
          <w:p w14:paraId="15BF08BD" w14:textId="4DDD149F" w:rsidR="00113EDE" w:rsidRDefault="00113EDE" w:rsidP="000F0453">
            <w:pPr>
              <w:spacing w:after="90"/>
            </w:pPr>
            <w:r>
              <w:t>Involvement in national and international events</w:t>
            </w:r>
          </w:p>
        </w:tc>
        <w:tc>
          <w:tcPr>
            <w:tcW w:w="1330" w:type="dxa"/>
          </w:tcPr>
          <w:p w14:paraId="15BF08BE" w14:textId="015F25F4" w:rsidR="00113EDE" w:rsidRDefault="00631459" w:rsidP="00113EDE">
            <w:pPr>
              <w:spacing w:after="90"/>
            </w:pPr>
            <w:r>
              <w:t>Application, interview</w:t>
            </w:r>
          </w:p>
        </w:tc>
      </w:tr>
      <w:tr w:rsidR="00113EDE" w14:paraId="15BF08C4" w14:textId="77777777" w:rsidTr="00013C10">
        <w:tc>
          <w:tcPr>
            <w:tcW w:w="1617" w:type="dxa"/>
          </w:tcPr>
          <w:p w14:paraId="15BF08C0" w14:textId="4F06E67F" w:rsidR="00113EDE" w:rsidRPr="00FD5B0E" w:rsidRDefault="00113EDE" w:rsidP="00113EDE">
            <w:r w:rsidRPr="00FD5B0E">
              <w:t xml:space="preserve">Planning </w:t>
            </w:r>
            <w:r>
              <w:t>and</w:t>
            </w:r>
            <w:r w:rsidRPr="00FD5B0E">
              <w:t xml:space="preserve"> organising</w:t>
            </w:r>
          </w:p>
        </w:tc>
        <w:tc>
          <w:tcPr>
            <w:tcW w:w="3402" w:type="dxa"/>
          </w:tcPr>
          <w:p w14:paraId="1851E39B" w14:textId="03BF50D8" w:rsidR="00113EDE" w:rsidRDefault="00113EDE" w:rsidP="00113EDE">
            <w:pPr>
              <w:spacing w:after="90"/>
            </w:pPr>
            <w:r>
              <w:t>Proven ability to champion and oversee key contributions to faculty and/or University research, education and enterprise strategies.</w:t>
            </w:r>
          </w:p>
          <w:p w14:paraId="74416829" w14:textId="6DD737E3" w:rsidR="00AD3068" w:rsidRDefault="00AD3068" w:rsidP="000B3BDD">
            <w:pPr>
              <w:spacing w:after="90"/>
            </w:pPr>
            <w:r>
              <w:t>Proven abili</w:t>
            </w:r>
            <w:r w:rsidR="000B3BDD">
              <w:t>ty to lead research activities, grants and/or contracts of national and international importance.</w:t>
            </w:r>
          </w:p>
          <w:p w14:paraId="15BF08C1" w14:textId="06AD09C0" w:rsidR="00113EDE" w:rsidRDefault="00AD3068" w:rsidP="00AD3068">
            <w:pPr>
              <w:spacing w:after="90"/>
            </w:pPr>
            <w:r>
              <w:t>Proven ability to lead the development of education strategies in the faculty through ongoing leadership in the dissemination of knowledge and/or curriculum development.</w:t>
            </w:r>
          </w:p>
        </w:tc>
        <w:tc>
          <w:tcPr>
            <w:tcW w:w="3402" w:type="dxa"/>
          </w:tcPr>
          <w:p w14:paraId="15BF08C2" w14:textId="01BD4EF2" w:rsidR="00113EDE" w:rsidRDefault="00113EDE" w:rsidP="00113EDE">
            <w:pPr>
              <w:spacing w:after="90"/>
            </w:pPr>
          </w:p>
        </w:tc>
        <w:tc>
          <w:tcPr>
            <w:tcW w:w="1330" w:type="dxa"/>
          </w:tcPr>
          <w:p w14:paraId="15BF08C3" w14:textId="30C50027" w:rsidR="00113EDE" w:rsidRDefault="000F0453" w:rsidP="00113EDE">
            <w:pPr>
              <w:spacing w:after="90"/>
            </w:pPr>
            <w:r>
              <w:t>Application, interview</w:t>
            </w:r>
          </w:p>
        </w:tc>
      </w:tr>
      <w:tr w:rsidR="00113EDE" w14:paraId="15BF08C9" w14:textId="77777777" w:rsidTr="00013C10">
        <w:tc>
          <w:tcPr>
            <w:tcW w:w="1617" w:type="dxa"/>
          </w:tcPr>
          <w:p w14:paraId="15BF08C5" w14:textId="21DBF709" w:rsidR="00113EDE" w:rsidRPr="00FD5B0E" w:rsidRDefault="00113EDE" w:rsidP="00113EDE">
            <w:r w:rsidRPr="00FD5B0E">
              <w:t xml:space="preserve">Problem solving </w:t>
            </w:r>
            <w:r>
              <w:t>and</w:t>
            </w:r>
            <w:r w:rsidRPr="00FD5B0E">
              <w:t xml:space="preserve"> initiative</w:t>
            </w:r>
          </w:p>
        </w:tc>
        <w:tc>
          <w:tcPr>
            <w:tcW w:w="3402" w:type="dxa"/>
          </w:tcPr>
          <w:p w14:paraId="15BF08C6" w14:textId="226437A0" w:rsidR="00113EDE" w:rsidRDefault="00AD3068" w:rsidP="00113EDE">
            <w:pPr>
              <w:spacing w:after="90"/>
            </w:pPr>
            <w:r>
              <w:t>Proven ability to implement successful change management initiatives and formulate strategic plans that reflect and support the priority needs of the faculty and University.</w:t>
            </w:r>
          </w:p>
        </w:tc>
        <w:tc>
          <w:tcPr>
            <w:tcW w:w="3402" w:type="dxa"/>
          </w:tcPr>
          <w:p w14:paraId="15BF08C7" w14:textId="77777777" w:rsidR="00113EDE" w:rsidRDefault="00113EDE" w:rsidP="00113EDE">
            <w:pPr>
              <w:spacing w:after="90"/>
            </w:pPr>
          </w:p>
        </w:tc>
        <w:tc>
          <w:tcPr>
            <w:tcW w:w="1330" w:type="dxa"/>
          </w:tcPr>
          <w:p w14:paraId="15BF08C8" w14:textId="0B779AF5" w:rsidR="00113EDE" w:rsidRDefault="000F0453" w:rsidP="00113EDE">
            <w:pPr>
              <w:spacing w:after="90"/>
            </w:pPr>
            <w:r>
              <w:t>Application, interview</w:t>
            </w:r>
          </w:p>
        </w:tc>
      </w:tr>
      <w:tr w:rsidR="00113EDE" w14:paraId="15BF08CE" w14:textId="77777777" w:rsidTr="00013C10">
        <w:tc>
          <w:tcPr>
            <w:tcW w:w="1617" w:type="dxa"/>
          </w:tcPr>
          <w:p w14:paraId="15BF08CA" w14:textId="221E4483" w:rsidR="00113EDE" w:rsidRPr="00FD5B0E" w:rsidRDefault="00113EDE" w:rsidP="00113EDE">
            <w:r w:rsidRPr="00FD5B0E">
              <w:t xml:space="preserve">Management </w:t>
            </w:r>
            <w:r>
              <w:t>and</w:t>
            </w:r>
            <w:r w:rsidRPr="00FD5B0E">
              <w:t xml:space="preserve"> teamwork</w:t>
            </w:r>
          </w:p>
        </w:tc>
        <w:tc>
          <w:tcPr>
            <w:tcW w:w="3402" w:type="dxa"/>
          </w:tcPr>
          <w:p w14:paraId="74880476" w14:textId="5BE128AD" w:rsidR="000B3BDD" w:rsidRDefault="000B3BDD" w:rsidP="00113EDE">
            <w:pPr>
              <w:spacing w:after="90"/>
            </w:pPr>
            <w:r>
              <w:t xml:space="preserve">Proven ability to oversee people and resource management processes </w:t>
            </w:r>
            <w:proofErr w:type="gramStart"/>
            <w:r>
              <w:t>in order to</w:t>
            </w:r>
            <w:proofErr w:type="gramEnd"/>
            <w:r>
              <w:t xml:space="preserve"> deliver key education, research and enterprise activities.</w:t>
            </w:r>
          </w:p>
          <w:p w14:paraId="27BEF4A8" w14:textId="10545A0E" w:rsidR="00AD3068" w:rsidRDefault="00AD3068" w:rsidP="00113EDE">
            <w:pPr>
              <w:spacing w:after="90"/>
            </w:pPr>
            <w:r>
              <w:t xml:space="preserve">Proven ability to make a sustained contribution to academic leadership at discipline, </w:t>
            </w:r>
            <w:r w:rsidR="00DC2400">
              <w:t xml:space="preserve">School/Department </w:t>
            </w:r>
            <w:r>
              <w:t>and faculty level.</w:t>
            </w:r>
          </w:p>
          <w:p w14:paraId="4BC64036" w14:textId="550F20C9" w:rsidR="00AD3068" w:rsidRDefault="00AD3068" w:rsidP="00113EDE">
            <w:pPr>
              <w:spacing w:after="90"/>
            </w:pPr>
            <w:r>
              <w:t>Proven ability to demonstrate leadership abilities in Higher Education and to raise performance standards through own work areas.</w:t>
            </w:r>
          </w:p>
          <w:p w14:paraId="15BF08CB" w14:textId="3E04B135" w:rsidR="00113EDE" w:rsidRDefault="00AD3068" w:rsidP="00113EDE">
            <w:pPr>
              <w:spacing w:after="90"/>
            </w:pPr>
            <w:r>
              <w:t>Proven ability</w:t>
            </w:r>
            <w:r w:rsidR="00113EDE">
              <w:t xml:space="preserve"> to recognise and deal with obstacles and difficulties so that the team can deliver.</w:t>
            </w:r>
          </w:p>
        </w:tc>
        <w:tc>
          <w:tcPr>
            <w:tcW w:w="3402" w:type="dxa"/>
          </w:tcPr>
          <w:p w14:paraId="15BF08CC" w14:textId="2CB1C38C" w:rsidR="00113EDE" w:rsidRDefault="00113EDE" w:rsidP="00113EDE">
            <w:pPr>
              <w:spacing w:after="90"/>
            </w:pPr>
          </w:p>
        </w:tc>
        <w:tc>
          <w:tcPr>
            <w:tcW w:w="1330" w:type="dxa"/>
          </w:tcPr>
          <w:p w14:paraId="15BF08CD" w14:textId="4DA079A2" w:rsidR="00113EDE" w:rsidRDefault="000F0453" w:rsidP="00113EDE">
            <w:pPr>
              <w:spacing w:after="90"/>
            </w:pPr>
            <w:r>
              <w:t>Application, interview</w:t>
            </w:r>
          </w:p>
        </w:tc>
      </w:tr>
      <w:tr w:rsidR="00113EDE" w14:paraId="15BF08D3" w14:textId="77777777" w:rsidTr="00013C10">
        <w:tc>
          <w:tcPr>
            <w:tcW w:w="1617" w:type="dxa"/>
          </w:tcPr>
          <w:p w14:paraId="15BF08CF" w14:textId="6952AC8B" w:rsidR="00113EDE" w:rsidRPr="00FD5B0E" w:rsidRDefault="00113EDE" w:rsidP="00113EDE">
            <w:r w:rsidRPr="00FD5B0E">
              <w:lastRenderedPageBreak/>
              <w:t xml:space="preserve">Communicating </w:t>
            </w:r>
            <w:r>
              <w:t>and</w:t>
            </w:r>
            <w:r w:rsidRPr="00FD5B0E">
              <w:t xml:space="preserve"> influencing</w:t>
            </w:r>
          </w:p>
        </w:tc>
        <w:tc>
          <w:tcPr>
            <w:tcW w:w="3402" w:type="dxa"/>
          </w:tcPr>
          <w:p w14:paraId="40699364" w14:textId="77777777" w:rsidR="00113EDE" w:rsidRDefault="00AD3068" w:rsidP="00113EDE">
            <w:pPr>
              <w:spacing w:after="90"/>
            </w:pPr>
            <w:r>
              <w:t>Proven ability to establish and build major relationships with stakeholders.</w:t>
            </w:r>
          </w:p>
          <w:p w14:paraId="743A3918" w14:textId="78AD345E" w:rsidR="00AD3068" w:rsidRDefault="00AD3068" w:rsidP="00113EDE">
            <w:pPr>
              <w:spacing w:after="90"/>
            </w:pPr>
            <w:r>
              <w:t>Proven ability to act as the main figurehead for key activities, developing important national and international contacts.</w:t>
            </w:r>
          </w:p>
          <w:p w14:paraId="57DCFFB8" w14:textId="3FE1D234" w:rsidR="00AD3068" w:rsidRDefault="00AD3068" w:rsidP="00113EDE">
            <w:pPr>
              <w:spacing w:after="90"/>
            </w:pPr>
            <w:r>
              <w:t>Able to contribute to the development of the University’s profile in the UK and internationally.</w:t>
            </w:r>
          </w:p>
          <w:p w14:paraId="15BF08D0" w14:textId="44A7CB97" w:rsidR="00AD3068" w:rsidRDefault="00AD3068" w:rsidP="00113EDE">
            <w:pPr>
              <w:spacing w:after="90"/>
            </w:pPr>
            <w:r>
              <w:t>Proven ability to use influence to develop positions or strategies.</w:t>
            </w:r>
          </w:p>
        </w:tc>
        <w:tc>
          <w:tcPr>
            <w:tcW w:w="3402" w:type="dxa"/>
          </w:tcPr>
          <w:p w14:paraId="15BF08D1" w14:textId="6F8313F9" w:rsidR="00113EDE" w:rsidRDefault="00113EDE" w:rsidP="00113EDE">
            <w:pPr>
              <w:spacing w:after="90"/>
            </w:pPr>
          </w:p>
        </w:tc>
        <w:tc>
          <w:tcPr>
            <w:tcW w:w="1330" w:type="dxa"/>
          </w:tcPr>
          <w:p w14:paraId="15BF08D2" w14:textId="6E58109C" w:rsidR="00113EDE" w:rsidRDefault="000F0453" w:rsidP="00113EDE">
            <w:pPr>
              <w:spacing w:after="90"/>
            </w:pPr>
            <w:r>
              <w:t>Application, interview</w:t>
            </w:r>
          </w:p>
        </w:tc>
      </w:tr>
      <w:tr w:rsidR="00113EDE" w14:paraId="15BF08D8" w14:textId="77777777" w:rsidTr="00013C10">
        <w:tc>
          <w:tcPr>
            <w:tcW w:w="1617" w:type="dxa"/>
          </w:tcPr>
          <w:p w14:paraId="15BF08D4" w14:textId="2D482B09" w:rsidR="00113EDE" w:rsidRPr="00FD5B0E" w:rsidRDefault="00113EDE" w:rsidP="00113EDE">
            <w:r w:rsidRPr="00FD5B0E">
              <w:t xml:space="preserve">Other skills </w:t>
            </w:r>
            <w:r>
              <w:t>and</w:t>
            </w:r>
            <w:r w:rsidRPr="00FD5B0E">
              <w:t xml:space="preserve"> behaviours</w:t>
            </w:r>
          </w:p>
        </w:tc>
        <w:tc>
          <w:tcPr>
            <w:tcW w:w="3402" w:type="dxa"/>
          </w:tcPr>
          <w:p w14:paraId="5903A190" w14:textId="77777777" w:rsidR="00113EDE" w:rsidRDefault="00113EDE" w:rsidP="00113EDE">
            <w:pPr>
              <w:spacing w:after="90"/>
            </w:pPr>
            <w:r>
              <w:t>Compliance with relevant Health &amp; Safety issues</w:t>
            </w:r>
          </w:p>
          <w:p w14:paraId="15BF08D5" w14:textId="7B59F770" w:rsidR="00113EDE" w:rsidRDefault="00113EDE" w:rsidP="00113EDE">
            <w:pPr>
              <w:spacing w:after="90"/>
            </w:pPr>
            <w:r>
              <w:t>Positive attitude to colleagues and students</w:t>
            </w:r>
          </w:p>
        </w:tc>
        <w:tc>
          <w:tcPr>
            <w:tcW w:w="3402" w:type="dxa"/>
          </w:tcPr>
          <w:p w14:paraId="15BF08D6" w14:textId="77777777" w:rsidR="00113EDE" w:rsidRDefault="00113EDE" w:rsidP="00113EDE">
            <w:pPr>
              <w:spacing w:after="90"/>
            </w:pPr>
          </w:p>
        </w:tc>
        <w:tc>
          <w:tcPr>
            <w:tcW w:w="1330" w:type="dxa"/>
          </w:tcPr>
          <w:p w14:paraId="15BF08D7" w14:textId="739C9985" w:rsidR="00113EDE" w:rsidRDefault="000F0453" w:rsidP="00113EDE">
            <w:pPr>
              <w:spacing w:after="90"/>
            </w:pPr>
            <w:r>
              <w:t>Application, interview</w:t>
            </w:r>
          </w:p>
        </w:tc>
      </w:tr>
      <w:tr w:rsidR="00113EDE" w14:paraId="15BF08DD" w14:textId="77777777" w:rsidTr="00013C10">
        <w:tc>
          <w:tcPr>
            <w:tcW w:w="1617" w:type="dxa"/>
          </w:tcPr>
          <w:p w14:paraId="15BF08D9" w14:textId="77777777" w:rsidR="00113EDE" w:rsidRPr="00FD5B0E" w:rsidRDefault="00113EDE" w:rsidP="00113EDE">
            <w:r w:rsidRPr="00FD5B0E">
              <w:t>Special requirements</w:t>
            </w:r>
          </w:p>
        </w:tc>
        <w:tc>
          <w:tcPr>
            <w:tcW w:w="3402" w:type="dxa"/>
          </w:tcPr>
          <w:p w14:paraId="15BF08DA" w14:textId="38E4141B" w:rsidR="00113EDE" w:rsidRDefault="00113EDE" w:rsidP="000B3BDD">
            <w:pPr>
              <w:spacing w:after="90"/>
            </w:pPr>
            <w:r w:rsidRPr="00401EAA">
              <w:t xml:space="preserve">Able to attend national and international conferences </w:t>
            </w:r>
            <w:r w:rsidR="000B3BDD">
              <w:t>as required.</w:t>
            </w:r>
          </w:p>
        </w:tc>
        <w:tc>
          <w:tcPr>
            <w:tcW w:w="3402" w:type="dxa"/>
          </w:tcPr>
          <w:p w14:paraId="15BF08DB" w14:textId="77777777" w:rsidR="00113EDE" w:rsidRDefault="00113EDE" w:rsidP="00113EDE">
            <w:pPr>
              <w:spacing w:after="90"/>
            </w:pPr>
          </w:p>
        </w:tc>
        <w:tc>
          <w:tcPr>
            <w:tcW w:w="1330" w:type="dxa"/>
          </w:tcPr>
          <w:p w14:paraId="15BF08DC" w14:textId="22AE7EA6" w:rsidR="00113EDE" w:rsidRDefault="000F0453" w:rsidP="00113EDE">
            <w:pPr>
              <w:spacing w:after="90"/>
            </w:pPr>
            <w:r>
              <w:t>Application,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40028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FFFE70E" w:rsidR="00D3349E" w:rsidRDefault="0040028F" w:rsidP="00E264FD">
            <w:sdt>
              <w:sdtPr>
                <w:id w:val="-174965147"/>
                <w14:checkbox>
                  <w14:checked w14:val="1"/>
                  <w14:checkedState w14:val="2612" w14:font="MS Gothic"/>
                  <w14:uncheckedState w14:val="2610" w14:font="MS Gothic"/>
                </w14:checkbox>
              </w:sdtPr>
              <w:sdtEndPr/>
              <w:sdtContent>
                <w:r w:rsidR="000F0453">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8E144E5" w:rsidR="0012209D" w:rsidRPr="009957AE" w:rsidRDefault="000F0453" w:rsidP="00321CAA">
            <w:pPr>
              <w:rPr>
                <w:sz w:val="16"/>
                <w:szCs w:val="16"/>
              </w:rPr>
            </w:pPr>
            <w:r>
              <w:rPr>
                <w:sz w:val="16"/>
                <w:szCs w:val="16"/>
              </w:rPr>
              <w:sym w:font="Wingdings" w:char="F0FC"/>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121225B6" w:rsidR="0012209D" w:rsidRPr="009957AE" w:rsidRDefault="000F0453" w:rsidP="00321CAA">
            <w:pPr>
              <w:rPr>
                <w:sz w:val="16"/>
                <w:szCs w:val="16"/>
              </w:rPr>
            </w:pPr>
            <w:r>
              <w:rPr>
                <w:sz w:val="16"/>
                <w:szCs w:val="16"/>
              </w:rPr>
              <w:sym w:font="Wingdings" w:char="F0FC"/>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3394AA28" w:rsidR="0012209D" w:rsidRPr="009957AE" w:rsidRDefault="000F0453" w:rsidP="00321CAA">
            <w:pPr>
              <w:rPr>
                <w:sz w:val="16"/>
                <w:szCs w:val="16"/>
              </w:rPr>
            </w:pPr>
            <w:r>
              <w:rPr>
                <w:sz w:val="16"/>
                <w:szCs w:val="16"/>
              </w:rPr>
              <w:sym w:font="Wingdings" w:char="F0FC"/>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12BE704C" w:rsidR="0012209D" w:rsidRPr="009957AE" w:rsidRDefault="000F0453" w:rsidP="00321CAA">
            <w:pPr>
              <w:rPr>
                <w:sz w:val="16"/>
                <w:szCs w:val="16"/>
              </w:rPr>
            </w:pPr>
            <w:r>
              <w:rPr>
                <w:sz w:val="16"/>
                <w:szCs w:val="16"/>
              </w:rPr>
              <w:sym w:font="Wingdings" w:char="F0FC"/>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2EA35253" w:rsidR="0012209D" w:rsidRPr="009957AE" w:rsidRDefault="000F0453" w:rsidP="000F0453">
            <w:pPr>
              <w:rPr>
                <w:sz w:val="16"/>
                <w:szCs w:val="16"/>
              </w:rPr>
            </w:pPr>
            <w:r>
              <w:rPr>
                <w:sz w:val="16"/>
                <w:szCs w:val="16"/>
              </w:rPr>
              <w:sym w:font="Wingdings" w:char="F0FC"/>
            </w:r>
            <w:r>
              <w:rPr>
                <w:sz w:val="16"/>
                <w:szCs w:val="16"/>
              </w:rPr>
              <w:t xml:space="preserve"> (vortex mixer)</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3EF63107" w:rsidR="0012209D" w:rsidRPr="009957AE" w:rsidRDefault="000F0453" w:rsidP="00321CAA">
            <w:pPr>
              <w:rPr>
                <w:sz w:val="16"/>
                <w:szCs w:val="16"/>
              </w:rPr>
            </w:pPr>
            <w:r>
              <w:rPr>
                <w:sz w:val="16"/>
                <w:szCs w:val="16"/>
              </w:rPr>
              <w:sym w:font="Wingdings" w:char="F0FC"/>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2289B268" w:rsidR="0012209D" w:rsidRPr="009957AE" w:rsidRDefault="000F0453" w:rsidP="00321CAA">
            <w:pPr>
              <w:rPr>
                <w:sz w:val="16"/>
                <w:szCs w:val="16"/>
              </w:rPr>
            </w:pPr>
            <w:r>
              <w:rPr>
                <w:sz w:val="16"/>
                <w:szCs w:val="16"/>
              </w:rPr>
              <w:sym w:font="Wingdings" w:char="F0FC"/>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1129E18" w:rsidR="0012209D" w:rsidRPr="009957AE" w:rsidRDefault="000F0453" w:rsidP="00321CAA">
            <w:pPr>
              <w:rPr>
                <w:sz w:val="16"/>
                <w:szCs w:val="16"/>
              </w:rPr>
            </w:pPr>
            <w:r>
              <w:rPr>
                <w:sz w:val="16"/>
                <w:szCs w:val="16"/>
              </w:rPr>
              <w:sym w:font="Wingdings" w:char="F0FC"/>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5F44BC18" w:rsidR="0012209D" w:rsidRPr="009957AE" w:rsidRDefault="000F0453" w:rsidP="00321CAA">
            <w:pPr>
              <w:rPr>
                <w:sz w:val="16"/>
                <w:szCs w:val="16"/>
              </w:rPr>
            </w:pPr>
            <w:r>
              <w:rPr>
                <w:sz w:val="16"/>
                <w:szCs w:val="16"/>
              </w:rPr>
              <w:sym w:font="Wingdings" w:char="F0FC"/>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549FBDB7" w:rsidR="0012209D" w:rsidRPr="009957AE" w:rsidRDefault="000F0453" w:rsidP="00321CAA">
            <w:pPr>
              <w:rPr>
                <w:sz w:val="16"/>
                <w:szCs w:val="16"/>
              </w:rPr>
            </w:pPr>
            <w:r>
              <w:rPr>
                <w:sz w:val="16"/>
                <w:szCs w:val="16"/>
              </w:rPr>
              <w:sym w:font="Wingdings" w:char="F0FC"/>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80B39" w14:textId="77777777" w:rsidR="008355DA" w:rsidRDefault="008355DA">
      <w:r>
        <w:separator/>
      </w:r>
    </w:p>
    <w:p w14:paraId="4C037468" w14:textId="77777777" w:rsidR="008355DA" w:rsidRDefault="008355DA"/>
  </w:endnote>
  <w:endnote w:type="continuationSeparator" w:id="0">
    <w:p w14:paraId="72532331" w14:textId="77777777" w:rsidR="008355DA" w:rsidRDefault="008355DA">
      <w:r>
        <w:continuationSeparator/>
      </w:r>
    </w:p>
    <w:p w14:paraId="7A7A0AF4" w14:textId="77777777" w:rsidR="008355DA" w:rsidRDefault="00835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3CABD3B8" w:rsidR="00062768" w:rsidRDefault="00E264FD" w:rsidP="009D7C0D">
    <w:pPr>
      <w:pStyle w:val="ContinuationFooter"/>
    </w:pPr>
    <w:fldSimple w:instr="FILENAME   \* MERGEFORMAT">
      <w:r>
        <w:t>Template</w:t>
      </w:r>
      <w:r w:rsidR="00746AEB">
        <w:t xml:space="preserve"> Job Description</w:t>
      </w:r>
      <w:r>
        <w:t xml:space="preserve"> - </w:t>
      </w:r>
    </w:fldSimple>
    <w:r w:rsidR="009D7C0D">
      <w:t>ERE</w:t>
    </w:r>
    <w:r w:rsidR="00746AEB">
      <w:t xml:space="preserve"> Level </w:t>
    </w:r>
    <w:r w:rsidR="009D7C0D">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0F0453">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C5311" w14:textId="77777777" w:rsidR="008355DA" w:rsidRDefault="008355DA">
      <w:r>
        <w:separator/>
      </w:r>
    </w:p>
    <w:p w14:paraId="3E9B9FD2" w14:textId="77777777" w:rsidR="008355DA" w:rsidRDefault="008355DA"/>
  </w:footnote>
  <w:footnote w:type="continuationSeparator" w:id="0">
    <w:p w14:paraId="3E180B92" w14:textId="77777777" w:rsidR="008355DA" w:rsidRDefault="008355DA">
      <w:r>
        <w:continuationSeparator/>
      </w:r>
    </w:p>
    <w:p w14:paraId="3B80BF93" w14:textId="77777777" w:rsidR="008355DA" w:rsidRDefault="00835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14" w:type="dxa"/>
      <w:tblLayout w:type="fixed"/>
      <w:tblCellMar>
        <w:left w:w="0" w:type="dxa"/>
        <w:right w:w="0" w:type="dxa"/>
      </w:tblCellMar>
      <w:tblLook w:val="00A0" w:firstRow="1" w:lastRow="0" w:firstColumn="1" w:lastColumn="0" w:noHBand="0" w:noVBand="0"/>
    </w:tblPr>
    <w:tblGrid>
      <w:gridCol w:w="9714"/>
    </w:tblGrid>
    <w:tr w:rsidR="00062768" w14:paraId="15BF0981" w14:textId="77777777" w:rsidTr="21DC1ABA">
      <w:trPr>
        <w:trHeight w:hRule="exact" w:val="171"/>
      </w:trPr>
      <w:tc>
        <w:tcPr>
          <w:tcW w:w="9714" w:type="dxa"/>
        </w:tcPr>
        <w:p w14:paraId="15BF0980" w14:textId="77777777" w:rsidR="00062768" w:rsidRDefault="00062768" w:rsidP="0029789A">
          <w:pPr>
            <w:pStyle w:val="Header"/>
          </w:pPr>
        </w:p>
      </w:tc>
    </w:tr>
    <w:tr w:rsidR="00062768" w14:paraId="15BF0983" w14:textId="77777777" w:rsidTr="21DC1ABA">
      <w:trPr>
        <w:trHeight w:val="893"/>
      </w:trPr>
      <w:tc>
        <w:tcPr>
          <w:tcW w:w="9714" w:type="dxa"/>
        </w:tcPr>
        <w:p w14:paraId="15BF0982" w14:textId="5AAC4860" w:rsidR="00062768" w:rsidRDefault="21DC1ABA" w:rsidP="0029789A">
          <w:pPr>
            <w:pStyle w:val="Header"/>
            <w:jc w:val="right"/>
          </w:pPr>
          <w:r>
            <w:rPr>
              <w:noProof/>
            </w:rPr>
            <w:drawing>
              <wp:inline distT="0" distB="0" distL="0" distR="0" wp14:anchorId="1E6175E0" wp14:editId="67CF4773">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3E2B90C" w:rsidR="0005274A" w:rsidRPr="0005274A" w:rsidRDefault="00F84583" w:rsidP="001603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144E48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CD8C20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CE6460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F2C78C2"/>
    <w:multiLevelType w:val="hybridMultilevel"/>
    <w:tmpl w:val="E096773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75886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48265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AED260B8"/>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66707445">
    <w:abstractNumId w:val="18"/>
  </w:num>
  <w:num w:numId="2" w16cid:durableId="655450255">
    <w:abstractNumId w:val="0"/>
  </w:num>
  <w:num w:numId="3" w16cid:durableId="605964856">
    <w:abstractNumId w:val="14"/>
  </w:num>
  <w:num w:numId="4" w16cid:durableId="118649242">
    <w:abstractNumId w:val="9"/>
  </w:num>
  <w:num w:numId="5" w16cid:durableId="711727747">
    <w:abstractNumId w:val="10"/>
  </w:num>
  <w:num w:numId="6" w16cid:durableId="164514325">
    <w:abstractNumId w:val="7"/>
  </w:num>
  <w:num w:numId="7" w16cid:durableId="2008554098">
    <w:abstractNumId w:val="3"/>
  </w:num>
  <w:num w:numId="8" w16cid:durableId="794644376">
    <w:abstractNumId w:val="5"/>
  </w:num>
  <w:num w:numId="9" w16cid:durableId="1902524002">
    <w:abstractNumId w:val="1"/>
  </w:num>
  <w:num w:numId="10" w16cid:durableId="881550917">
    <w:abstractNumId w:val="8"/>
  </w:num>
  <w:num w:numId="11" w16cid:durableId="559829303">
    <w:abstractNumId w:val="4"/>
  </w:num>
  <w:num w:numId="12" w16cid:durableId="31001653">
    <w:abstractNumId w:val="15"/>
  </w:num>
  <w:num w:numId="13" w16cid:durableId="1283343161">
    <w:abstractNumId w:val="16"/>
  </w:num>
  <w:num w:numId="14" w16cid:durableId="129981215">
    <w:abstractNumId w:val="6"/>
  </w:num>
  <w:num w:numId="15" w16cid:durableId="1747998735">
    <w:abstractNumId w:val="2"/>
  </w:num>
  <w:num w:numId="16" w16cid:durableId="778136745">
    <w:abstractNumId w:val="11"/>
  </w:num>
  <w:num w:numId="17" w16cid:durableId="1788426749">
    <w:abstractNumId w:val="13"/>
  </w:num>
  <w:num w:numId="18" w16cid:durableId="91979247">
    <w:abstractNumId w:val="17"/>
  </w:num>
  <w:num w:numId="19" w16cid:durableId="195652280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6C01"/>
    <w:rsid w:val="00013C10"/>
    <w:rsid w:val="00015087"/>
    <w:rsid w:val="0005274A"/>
    <w:rsid w:val="00057DE4"/>
    <w:rsid w:val="00062768"/>
    <w:rsid w:val="00063081"/>
    <w:rsid w:val="00071653"/>
    <w:rsid w:val="000824F4"/>
    <w:rsid w:val="000978E8"/>
    <w:rsid w:val="000B1DED"/>
    <w:rsid w:val="000B208B"/>
    <w:rsid w:val="000B2FE0"/>
    <w:rsid w:val="000B3BDD"/>
    <w:rsid w:val="000B4E5A"/>
    <w:rsid w:val="000D7DB7"/>
    <w:rsid w:val="000F0453"/>
    <w:rsid w:val="000F328E"/>
    <w:rsid w:val="00102BCB"/>
    <w:rsid w:val="00113EDE"/>
    <w:rsid w:val="0012209D"/>
    <w:rsid w:val="001479FB"/>
    <w:rsid w:val="001532E2"/>
    <w:rsid w:val="00156CBF"/>
    <w:rsid w:val="00156F2F"/>
    <w:rsid w:val="001603A7"/>
    <w:rsid w:val="0018144C"/>
    <w:rsid w:val="001840EA"/>
    <w:rsid w:val="0018482E"/>
    <w:rsid w:val="001B6986"/>
    <w:rsid w:val="001C5C5C"/>
    <w:rsid w:val="001D0B37"/>
    <w:rsid w:val="001D5201"/>
    <w:rsid w:val="001D75FF"/>
    <w:rsid w:val="001E24BE"/>
    <w:rsid w:val="00205458"/>
    <w:rsid w:val="00236BFE"/>
    <w:rsid w:val="00241441"/>
    <w:rsid w:val="0024539C"/>
    <w:rsid w:val="00254722"/>
    <w:rsid w:val="002547F5"/>
    <w:rsid w:val="00260333"/>
    <w:rsid w:val="00260B1D"/>
    <w:rsid w:val="00266C6A"/>
    <w:rsid w:val="0028509A"/>
    <w:rsid w:val="00287575"/>
    <w:rsid w:val="0029110A"/>
    <w:rsid w:val="0029789A"/>
    <w:rsid w:val="002A70BE"/>
    <w:rsid w:val="002B4941"/>
    <w:rsid w:val="002C6198"/>
    <w:rsid w:val="002D4DF4"/>
    <w:rsid w:val="002D58F6"/>
    <w:rsid w:val="002E7C28"/>
    <w:rsid w:val="00312C9E"/>
    <w:rsid w:val="00313CC8"/>
    <w:rsid w:val="003178D9"/>
    <w:rsid w:val="00323B91"/>
    <w:rsid w:val="0034151E"/>
    <w:rsid w:val="00343D93"/>
    <w:rsid w:val="00364B2C"/>
    <w:rsid w:val="003701F7"/>
    <w:rsid w:val="00385622"/>
    <w:rsid w:val="003A2001"/>
    <w:rsid w:val="003B0262"/>
    <w:rsid w:val="003B7540"/>
    <w:rsid w:val="0040028F"/>
    <w:rsid w:val="004022C1"/>
    <w:rsid w:val="004263FE"/>
    <w:rsid w:val="00463797"/>
    <w:rsid w:val="00467596"/>
    <w:rsid w:val="00474D00"/>
    <w:rsid w:val="004B2A50"/>
    <w:rsid w:val="004C0252"/>
    <w:rsid w:val="004C68AE"/>
    <w:rsid w:val="004D4966"/>
    <w:rsid w:val="0051744C"/>
    <w:rsid w:val="00524005"/>
    <w:rsid w:val="00525C5B"/>
    <w:rsid w:val="0053384C"/>
    <w:rsid w:val="00541CE0"/>
    <w:rsid w:val="00547070"/>
    <w:rsid w:val="005534E1"/>
    <w:rsid w:val="00573487"/>
    <w:rsid w:val="00580CBF"/>
    <w:rsid w:val="005907B3"/>
    <w:rsid w:val="005949FA"/>
    <w:rsid w:val="005D3265"/>
    <w:rsid w:val="005D44D1"/>
    <w:rsid w:val="00601F61"/>
    <w:rsid w:val="00617FAD"/>
    <w:rsid w:val="006249FD"/>
    <w:rsid w:val="00631459"/>
    <w:rsid w:val="00636929"/>
    <w:rsid w:val="00651280"/>
    <w:rsid w:val="0065560D"/>
    <w:rsid w:val="00661BF7"/>
    <w:rsid w:val="00671F76"/>
    <w:rsid w:val="00680547"/>
    <w:rsid w:val="00695D76"/>
    <w:rsid w:val="006B1AF6"/>
    <w:rsid w:val="006D2EA0"/>
    <w:rsid w:val="006F44EB"/>
    <w:rsid w:val="00702D64"/>
    <w:rsid w:val="0070376B"/>
    <w:rsid w:val="00746AEB"/>
    <w:rsid w:val="00761108"/>
    <w:rsid w:val="00791076"/>
    <w:rsid w:val="0079197B"/>
    <w:rsid w:val="00791A2A"/>
    <w:rsid w:val="007C22CC"/>
    <w:rsid w:val="007C6FAA"/>
    <w:rsid w:val="007E2D19"/>
    <w:rsid w:val="007E500B"/>
    <w:rsid w:val="007F2AEA"/>
    <w:rsid w:val="007F7AB7"/>
    <w:rsid w:val="00813365"/>
    <w:rsid w:val="00813A2C"/>
    <w:rsid w:val="0082020C"/>
    <w:rsid w:val="0082075E"/>
    <w:rsid w:val="008355DA"/>
    <w:rsid w:val="008443D8"/>
    <w:rsid w:val="00854B1E"/>
    <w:rsid w:val="00856B8A"/>
    <w:rsid w:val="00876272"/>
    <w:rsid w:val="00883499"/>
    <w:rsid w:val="00885FD1"/>
    <w:rsid w:val="008961F9"/>
    <w:rsid w:val="008C7F3F"/>
    <w:rsid w:val="008D52C9"/>
    <w:rsid w:val="008F03C7"/>
    <w:rsid w:val="009064A9"/>
    <w:rsid w:val="009403D4"/>
    <w:rsid w:val="009419A4"/>
    <w:rsid w:val="00945F4B"/>
    <w:rsid w:val="009464AF"/>
    <w:rsid w:val="00954E47"/>
    <w:rsid w:val="00965BFB"/>
    <w:rsid w:val="00967DA7"/>
    <w:rsid w:val="00970E28"/>
    <w:rsid w:val="0098120F"/>
    <w:rsid w:val="00996476"/>
    <w:rsid w:val="009A591A"/>
    <w:rsid w:val="009C6A2E"/>
    <w:rsid w:val="009D7C0D"/>
    <w:rsid w:val="00A021B7"/>
    <w:rsid w:val="00A131D9"/>
    <w:rsid w:val="00A13977"/>
    <w:rsid w:val="00A14888"/>
    <w:rsid w:val="00A23226"/>
    <w:rsid w:val="00A31A8C"/>
    <w:rsid w:val="00A34296"/>
    <w:rsid w:val="00A521A9"/>
    <w:rsid w:val="00A7244A"/>
    <w:rsid w:val="00A925C0"/>
    <w:rsid w:val="00AA3CB5"/>
    <w:rsid w:val="00AC2B17"/>
    <w:rsid w:val="00AD3068"/>
    <w:rsid w:val="00AE1CA0"/>
    <w:rsid w:val="00AE39DC"/>
    <w:rsid w:val="00AE4DC4"/>
    <w:rsid w:val="00B02F38"/>
    <w:rsid w:val="00B430BB"/>
    <w:rsid w:val="00B6769A"/>
    <w:rsid w:val="00B84C12"/>
    <w:rsid w:val="00BB4A42"/>
    <w:rsid w:val="00BB7845"/>
    <w:rsid w:val="00BC060A"/>
    <w:rsid w:val="00BF1CC6"/>
    <w:rsid w:val="00C17D87"/>
    <w:rsid w:val="00C31B06"/>
    <w:rsid w:val="00C6296B"/>
    <w:rsid w:val="00C76BBC"/>
    <w:rsid w:val="00C83F50"/>
    <w:rsid w:val="00C907D0"/>
    <w:rsid w:val="00C90EC4"/>
    <w:rsid w:val="00CB1F23"/>
    <w:rsid w:val="00CC0477"/>
    <w:rsid w:val="00CD04F0"/>
    <w:rsid w:val="00CD0A9A"/>
    <w:rsid w:val="00CD159C"/>
    <w:rsid w:val="00CE3A26"/>
    <w:rsid w:val="00D00B68"/>
    <w:rsid w:val="00D16D9D"/>
    <w:rsid w:val="00D3349E"/>
    <w:rsid w:val="00D50678"/>
    <w:rsid w:val="00D54AA2"/>
    <w:rsid w:val="00D55315"/>
    <w:rsid w:val="00D5587F"/>
    <w:rsid w:val="00D65B56"/>
    <w:rsid w:val="00D67D41"/>
    <w:rsid w:val="00D73BB9"/>
    <w:rsid w:val="00DC1CE3"/>
    <w:rsid w:val="00DC2400"/>
    <w:rsid w:val="00DC4386"/>
    <w:rsid w:val="00DE553C"/>
    <w:rsid w:val="00E01106"/>
    <w:rsid w:val="00E25775"/>
    <w:rsid w:val="00E264FD"/>
    <w:rsid w:val="00E363B8"/>
    <w:rsid w:val="00E37792"/>
    <w:rsid w:val="00E63AC1"/>
    <w:rsid w:val="00E8458F"/>
    <w:rsid w:val="00E96015"/>
    <w:rsid w:val="00EB589D"/>
    <w:rsid w:val="00ED2E52"/>
    <w:rsid w:val="00EE13FB"/>
    <w:rsid w:val="00EE350A"/>
    <w:rsid w:val="00F01EA0"/>
    <w:rsid w:val="00F135E0"/>
    <w:rsid w:val="00F378D2"/>
    <w:rsid w:val="00F84583"/>
    <w:rsid w:val="00F85DED"/>
    <w:rsid w:val="00F90F90"/>
    <w:rsid w:val="00FB7297"/>
    <w:rsid w:val="00FC2ADA"/>
    <w:rsid w:val="00FE47BF"/>
    <w:rsid w:val="00FF140B"/>
    <w:rsid w:val="00FF246F"/>
    <w:rsid w:val="04CE311C"/>
    <w:rsid w:val="21DC1ABA"/>
    <w:rsid w:val="34722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120903">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3539925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CEC6A-E044-4C69-8886-1E305408F04F}">
  <ds:schemaRefs>
    <ds:schemaRef ds:uri="http://schemas.openxmlformats.org/officeDocument/2006/bibliography"/>
  </ds:schemaRefs>
</ds:datastoreItem>
</file>

<file path=customXml/itemProps2.xml><?xml version="1.0" encoding="utf-8"?>
<ds:datastoreItem xmlns:ds="http://schemas.openxmlformats.org/officeDocument/2006/customXml" ds:itemID="{E5EDF5BC-0B9F-42C8-9F28-16B3AB91C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1473</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Marilyn D'costa</cp:lastModifiedBy>
  <cp:revision>8</cp:revision>
  <cp:lastPrinted>2008-01-14T17:11:00Z</cp:lastPrinted>
  <dcterms:created xsi:type="dcterms:W3CDTF">2025-01-09T15:23:00Z</dcterms:created>
  <dcterms:modified xsi:type="dcterms:W3CDTF">2025-01-10T11:05:00Z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